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4662F" w14:textId="77777777" w:rsidR="003076AB" w:rsidRPr="003076AB" w:rsidRDefault="003076AB" w:rsidP="003076AB">
      <w:r w:rsidRPr="003076AB">
        <w:rPr>
          <w:b/>
          <w:bCs/>
        </w:rPr>
        <w:t>Interview Questions</w:t>
      </w:r>
    </w:p>
    <w:p w14:paraId="78DCC431" w14:textId="77777777" w:rsidR="003076AB" w:rsidRDefault="003076AB" w:rsidP="003076AB">
      <w:pPr>
        <w:numPr>
          <w:ilvl w:val="0"/>
          <w:numId w:val="1"/>
        </w:numPr>
      </w:pPr>
      <w:r w:rsidRPr="003076AB">
        <w:t>What is the current "Safe Yield" of the Lake Belton/Stillhouse Hollow sub-system compared to the total volume of existing water contracts?</w:t>
      </w:r>
    </w:p>
    <w:p w14:paraId="3426724C" w14:textId="223933FA" w:rsidR="001E7310" w:rsidRPr="001E7310" w:rsidRDefault="0017546E" w:rsidP="001E7310">
      <w:pPr>
        <w:pStyle w:val="ListParagraph"/>
        <w:spacing w:before="100" w:beforeAutospacing="1" w:after="100" w:afterAutospacing="1"/>
        <w:rPr>
          <w:color w:val="1F497D"/>
        </w:rPr>
      </w:pPr>
      <w:r w:rsidRPr="001E7310">
        <w:rPr>
          <w:color w:val="1F497D"/>
        </w:rPr>
        <w:t xml:space="preserve">Still </w:t>
      </w:r>
      <w:r w:rsidR="001E7310" w:rsidRPr="001E7310">
        <w:rPr>
          <w:color w:val="1F497D"/>
        </w:rPr>
        <w:t>Regarding “Safe Yield</w:t>
      </w:r>
      <w:r w:rsidR="001E7310">
        <w:rPr>
          <w:color w:val="1F497D"/>
        </w:rPr>
        <w:t>,</w:t>
      </w:r>
      <w:r w:rsidR="001E7310" w:rsidRPr="001E7310">
        <w:rPr>
          <w:color w:val="1F497D"/>
        </w:rPr>
        <w:t>” we understand this term to mean the amount of water that can reliably be supplied from a reservoir or reservoir sub-system through the critical drought period while leaving a pre-determined amount of supply in the reservoir at the conclusion of the drought. For example, 1-year safe yield or 6-month safe yield.</w:t>
      </w:r>
    </w:p>
    <w:p w14:paraId="41FB8CED" w14:textId="77777777" w:rsidR="001E7310" w:rsidRPr="001E7310" w:rsidRDefault="001E7310" w:rsidP="001E7310">
      <w:pPr>
        <w:pStyle w:val="ListParagraph"/>
        <w:spacing w:before="100" w:beforeAutospacing="1" w:after="100" w:afterAutospacing="1"/>
        <w:rPr>
          <w:color w:val="1F497D"/>
        </w:rPr>
      </w:pPr>
    </w:p>
    <w:p w14:paraId="6A5A263A" w14:textId="078BD0C5" w:rsidR="001E7310" w:rsidRPr="001E7310" w:rsidRDefault="001E7310" w:rsidP="001E7310">
      <w:pPr>
        <w:pStyle w:val="ListParagraph"/>
        <w:spacing w:before="100" w:beforeAutospacing="1" w:after="100" w:afterAutospacing="1"/>
        <w:rPr>
          <w:color w:val="1F497D"/>
        </w:rPr>
      </w:pPr>
      <w:r w:rsidRPr="001E7310">
        <w:rPr>
          <w:color w:val="1F497D"/>
        </w:rPr>
        <w:t>“Safe Yield” is typically not used in Texas for long-term water supply contracting. Instead, firm yield is typically used</w:t>
      </w:r>
      <w:r>
        <w:rPr>
          <w:color w:val="1F497D"/>
        </w:rPr>
        <w:t>,</w:t>
      </w:r>
      <w:r w:rsidRPr="001E7310">
        <w:rPr>
          <w:color w:val="1F497D"/>
        </w:rPr>
        <w:t xml:space="preserve"> which is an estimate of the water supply that can be satisfied through the critical drought period using the entire reservoir or sub-system of reservoir storage. For the Lake Belton/Stillhouse Hollow sub-system, previous analyses show that all contracts from the Lake Belton/Stillhouse Hollow sub-system (roughly 210,000 acre-feet) can be satisfied through 2070 on a firm yield basis once the Belhouse Drought Preparedness Project is in place.</w:t>
      </w:r>
    </w:p>
    <w:p w14:paraId="625E2D11" w14:textId="132B7112" w:rsidR="00507C4A" w:rsidRDefault="00507C4A" w:rsidP="00507C4A">
      <w:pPr>
        <w:pStyle w:val="ListParagraph"/>
        <w:spacing w:before="100" w:beforeAutospacing="1" w:after="100" w:afterAutospacing="1"/>
        <w:rPr>
          <w:color w:val="1F497D"/>
          <w:highlight w:val="yellow"/>
        </w:rPr>
      </w:pPr>
    </w:p>
    <w:p w14:paraId="485F8A48" w14:textId="77777777" w:rsidR="003076AB" w:rsidRDefault="003076AB" w:rsidP="003076AB">
      <w:pPr>
        <w:numPr>
          <w:ilvl w:val="0"/>
          <w:numId w:val="1"/>
        </w:numPr>
      </w:pPr>
      <w:r w:rsidRPr="003076AB">
        <w:t>Based on current PHDI (Palmer Hydrologic Drought Index) trends of −2.4, how many days of "zero inflow" can the system sustain before hitting Stage 2 (Drought Warning)?</w:t>
      </w:r>
    </w:p>
    <w:p w14:paraId="1594ACA6" w14:textId="7E5CF919" w:rsidR="005757D8" w:rsidRPr="00222931" w:rsidRDefault="00B92B22" w:rsidP="000B0EE0">
      <w:pPr>
        <w:pStyle w:val="ListParagraph"/>
        <w:spacing w:before="100" w:beforeAutospacing="1" w:after="100" w:afterAutospacing="1"/>
        <w:rPr>
          <w:color w:val="1F497D"/>
        </w:rPr>
      </w:pPr>
      <w:r w:rsidRPr="00222931">
        <w:rPr>
          <w:color w:val="1F497D"/>
        </w:rPr>
        <w:t>Under conservative</w:t>
      </w:r>
      <w:r w:rsidR="005757D8" w:rsidRPr="00222931">
        <w:rPr>
          <w:color w:val="1F497D"/>
        </w:rPr>
        <w:t xml:space="preserve"> “worst-case” </w:t>
      </w:r>
      <w:r w:rsidRPr="00222931">
        <w:rPr>
          <w:color w:val="1F497D"/>
        </w:rPr>
        <w:t xml:space="preserve">conditions which </w:t>
      </w:r>
      <w:r w:rsidR="005757D8" w:rsidRPr="00222931">
        <w:rPr>
          <w:color w:val="1F497D"/>
        </w:rPr>
        <w:t>assum</w:t>
      </w:r>
      <w:r w:rsidRPr="00222931">
        <w:rPr>
          <w:color w:val="1F497D"/>
        </w:rPr>
        <w:t>e</w:t>
      </w:r>
      <w:r w:rsidR="005757D8" w:rsidRPr="00222931">
        <w:rPr>
          <w:color w:val="1F497D"/>
        </w:rPr>
        <w:t xml:space="preserve"> minimal inflows combined with historically high evaporation rates</w:t>
      </w:r>
      <w:r w:rsidRPr="00222931">
        <w:rPr>
          <w:color w:val="1F497D"/>
        </w:rPr>
        <w:t xml:space="preserve">, </w:t>
      </w:r>
      <w:r w:rsidR="005757D8" w:rsidRPr="00222931">
        <w:rPr>
          <w:color w:val="1F497D"/>
        </w:rPr>
        <w:t>model projections indicate that Stage 2 conditions could be reached at Lake Proctor by late July, with other reservoirs in the BRA system potentially reaching Stage 2 later in the fall if drought conditions persist or intensify.</w:t>
      </w:r>
    </w:p>
    <w:p w14:paraId="1A8872AE" w14:textId="77777777" w:rsidR="000B0EE0" w:rsidRPr="00222931" w:rsidRDefault="000B0EE0" w:rsidP="000B0EE0">
      <w:pPr>
        <w:pStyle w:val="ListParagraph"/>
        <w:spacing w:before="100" w:beforeAutospacing="1" w:after="100" w:afterAutospacing="1"/>
        <w:rPr>
          <w:color w:val="1F497D"/>
        </w:rPr>
      </w:pPr>
    </w:p>
    <w:p w14:paraId="74E5FFF6" w14:textId="3C268D15" w:rsidR="005757D8" w:rsidRDefault="005757D8" w:rsidP="000B0EE0">
      <w:pPr>
        <w:pStyle w:val="ListParagraph"/>
        <w:rPr>
          <w:color w:val="1F497D"/>
        </w:rPr>
      </w:pPr>
      <w:r w:rsidRPr="00222931">
        <w:rPr>
          <w:color w:val="1F497D"/>
        </w:rPr>
        <w:t xml:space="preserve">These projections are </w:t>
      </w:r>
      <w:r w:rsidR="00222931" w:rsidRPr="00222931">
        <w:rPr>
          <w:color w:val="1F497D"/>
        </w:rPr>
        <w:t xml:space="preserve">estimates and are </w:t>
      </w:r>
      <w:r w:rsidRPr="00222931">
        <w:rPr>
          <w:color w:val="1F497D"/>
        </w:rPr>
        <w:t>intended for planning purposes, rather than a prediction tied to a fixed duration of zero inflow.</w:t>
      </w:r>
    </w:p>
    <w:p w14:paraId="0BB3E662" w14:textId="77777777" w:rsidR="00992BDF" w:rsidRPr="003076AB" w:rsidRDefault="00992BDF" w:rsidP="000B0EE0">
      <w:pPr>
        <w:pStyle w:val="ListParagraph"/>
      </w:pPr>
    </w:p>
    <w:p w14:paraId="1448B703" w14:textId="77777777" w:rsidR="003076AB" w:rsidRDefault="003076AB" w:rsidP="003076AB">
      <w:pPr>
        <w:numPr>
          <w:ilvl w:val="0"/>
          <w:numId w:val="1"/>
        </w:numPr>
      </w:pPr>
      <w:r w:rsidRPr="003076AB">
        <w:t>With the Stage 1 Drought Watch declared yesterday, what is the estimated daily "Evaporative Loss" for the system compared to the daily draw for Temple's industrial sector?</w:t>
      </w:r>
    </w:p>
    <w:p w14:paraId="7003A9AF" w14:textId="4231DCF4" w:rsidR="00B34B5E" w:rsidRPr="00E628E4" w:rsidRDefault="00B34B5E" w:rsidP="00B34B5E">
      <w:pPr>
        <w:pStyle w:val="ListParagraph"/>
        <w:spacing w:before="100" w:beforeAutospacing="1" w:after="100" w:afterAutospacing="1"/>
        <w:rPr>
          <w:color w:val="1F497D"/>
        </w:rPr>
      </w:pPr>
      <w:r w:rsidRPr="008F0F39">
        <w:rPr>
          <w:color w:val="1F497D"/>
        </w:rPr>
        <w:t xml:space="preserve">At Lake Belton, evaporative losses during the month of April typically range from approximately 90 to 100 acre-feet per day. As temperatures increase into the </w:t>
      </w:r>
      <w:r w:rsidRPr="00E628E4">
        <w:rPr>
          <w:color w:val="1F497D"/>
        </w:rPr>
        <w:lastRenderedPageBreak/>
        <w:t>summer months, evaporation rates generally rise to 130 to 140 acre-feet per day, with occasional days exceeding 150 acre-feet per day under extreme conditions.</w:t>
      </w:r>
      <w:r w:rsidRPr="00E628E4">
        <w:rPr>
          <w:color w:val="1F497D"/>
        </w:rPr>
        <w:br/>
      </w:r>
    </w:p>
    <w:p w14:paraId="579196D5" w14:textId="0DF664F2" w:rsidR="00B34B5E" w:rsidRPr="00E628E4" w:rsidRDefault="00B34B5E" w:rsidP="00B34B5E">
      <w:pPr>
        <w:pStyle w:val="ListParagraph"/>
        <w:spacing w:before="100" w:beforeAutospacing="1" w:after="100" w:afterAutospacing="1"/>
        <w:rPr>
          <w:color w:val="1F497D"/>
        </w:rPr>
      </w:pPr>
      <w:r w:rsidRPr="00E628E4">
        <w:rPr>
          <w:color w:val="1F497D"/>
        </w:rPr>
        <w:t>By comparison, the City of Temple’s total daily raw water diversions from Lake Belton generally range from 30 to 70 acre-feet per day, depending on seasonal demand, with an average daily use of approximately 50 acre-feet per day.</w:t>
      </w:r>
      <w:r w:rsidRPr="00E628E4">
        <w:rPr>
          <w:color w:val="1F497D"/>
        </w:rPr>
        <w:br/>
      </w:r>
    </w:p>
    <w:p w14:paraId="075457C1" w14:textId="408B4565" w:rsidR="00B34B5E" w:rsidRDefault="00B34B5E" w:rsidP="00B34B5E">
      <w:pPr>
        <w:pStyle w:val="ListParagraph"/>
        <w:spacing w:before="100" w:beforeAutospacing="1" w:after="100" w:afterAutospacing="1"/>
        <w:rPr>
          <w:color w:val="1F497D"/>
          <w:highlight w:val="yellow"/>
        </w:rPr>
      </w:pPr>
      <w:r w:rsidRPr="00E628E4">
        <w:rPr>
          <w:color w:val="1F497D"/>
        </w:rPr>
        <w:t>It should be noted that the Brazos River Authority (BRA) tracks total raw water diversions at the point of withdrawal and does not differentiate between municipal, commercial, or industrial uses within a customer’s distribution system. Therefore, any breakdown of Temple’s water use by sector, including industrial demand, would need to be obtained directly from the City of Temple.</w:t>
      </w:r>
      <w:r>
        <w:rPr>
          <w:color w:val="1F497D"/>
          <w:highlight w:val="yellow"/>
        </w:rPr>
        <w:br/>
      </w:r>
    </w:p>
    <w:p w14:paraId="44A1B32C" w14:textId="77777777" w:rsidR="003076AB" w:rsidRDefault="003076AB" w:rsidP="003076AB">
      <w:pPr>
        <w:numPr>
          <w:ilvl w:val="0"/>
          <w:numId w:val="1"/>
        </w:numPr>
      </w:pPr>
      <w:r w:rsidRPr="003076AB">
        <w:t> In your modeling for the 2026 Region G Water Plan, what "unforeseen industrial load" percentage was used for Bell County? </w:t>
      </w:r>
    </w:p>
    <w:p w14:paraId="3D33BCC6" w14:textId="018249FC" w:rsidR="00B818FE" w:rsidRPr="00B818FE" w:rsidRDefault="00B818FE" w:rsidP="00B818FE">
      <w:pPr>
        <w:pStyle w:val="ListParagraph"/>
        <w:spacing w:before="100" w:beforeAutospacing="1" w:after="100" w:afterAutospacing="1"/>
        <w:rPr>
          <w:i/>
          <w:iCs/>
          <w:color w:val="153D63" w:themeColor="text2" w:themeTint="E6"/>
        </w:rPr>
      </w:pPr>
      <w:r w:rsidRPr="00B818FE">
        <w:rPr>
          <w:rFonts w:eastAsia="Times New Roman"/>
          <w:i/>
          <w:iCs/>
          <w:color w:val="153D63" w:themeColor="text2" w:themeTint="E6"/>
        </w:rPr>
        <w:t xml:space="preserve">The modeling performed and the data compiled for the 2026 Region G Water Plan is not a product </w:t>
      </w:r>
      <w:r w:rsidR="001C16D6">
        <w:rPr>
          <w:rFonts w:eastAsia="Times New Roman"/>
          <w:i/>
          <w:iCs/>
          <w:color w:val="153D63" w:themeColor="text2" w:themeTint="E6"/>
        </w:rPr>
        <w:t>of</w:t>
      </w:r>
      <w:r w:rsidRPr="00B818FE">
        <w:rPr>
          <w:rFonts w:eastAsia="Times New Roman"/>
          <w:i/>
          <w:iCs/>
          <w:color w:val="153D63" w:themeColor="text2" w:themeTint="E6"/>
        </w:rPr>
        <w:t xml:space="preserve"> the BRA. The Technical Consultant for the Region G regional water planning group compiles the data and the modeling that is included within the current regional water plan. Carollo Engineers is the Technical Consultant for the 2026 Region G Regional Water Plan. The BRA is the political subdivision sponsor and administrative agent for the </w:t>
      </w:r>
      <w:r w:rsidR="007A3F10" w:rsidRPr="00B818FE">
        <w:rPr>
          <w:rFonts w:eastAsia="Times New Roman"/>
          <w:i/>
          <w:iCs/>
          <w:color w:val="153D63" w:themeColor="text2" w:themeTint="E6"/>
        </w:rPr>
        <w:t>group but</w:t>
      </w:r>
      <w:r w:rsidRPr="00B818FE">
        <w:rPr>
          <w:rFonts w:eastAsia="Times New Roman"/>
          <w:i/>
          <w:iCs/>
          <w:color w:val="153D63" w:themeColor="text2" w:themeTint="E6"/>
        </w:rPr>
        <w:t xml:space="preserve"> is not the author of the data or modeling in the plan.</w:t>
      </w:r>
    </w:p>
    <w:p w14:paraId="0A638AF6" w14:textId="77777777" w:rsidR="003076AB" w:rsidRDefault="003076AB" w:rsidP="003076AB">
      <w:pPr>
        <w:numPr>
          <w:ilvl w:val="0"/>
          <w:numId w:val="1"/>
        </w:numPr>
      </w:pPr>
      <w:r w:rsidRPr="003076AB">
        <w:t>Does the BRA’s current Water Management Plan (WMP) assume "Closed-Loop" efficiency for all new industrial contracts, or does it model for evaporative cooling loss? </w:t>
      </w:r>
    </w:p>
    <w:p w14:paraId="5F5FB339" w14:textId="74ECC42E" w:rsidR="00AB44A1" w:rsidRPr="00E21483" w:rsidRDefault="00AB44A1" w:rsidP="00AB44A1">
      <w:pPr>
        <w:pStyle w:val="ListParagraph"/>
        <w:spacing w:before="100" w:beforeAutospacing="1" w:after="100" w:afterAutospacing="1"/>
        <w:rPr>
          <w:i/>
          <w:iCs/>
          <w:color w:val="153D63" w:themeColor="text2" w:themeTint="E6"/>
          <w:highlight w:val="yellow"/>
        </w:rPr>
      </w:pPr>
      <w:r w:rsidRPr="009B3CDE">
        <w:rPr>
          <w:rFonts w:eastAsia="Times New Roman"/>
          <w:i/>
          <w:iCs/>
          <w:color w:val="153D63" w:themeColor="text2" w:themeTint="E6"/>
        </w:rPr>
        <w:t>BRA does not have any information regarding the cooling types for new industrial projects coming to the basin. BRA’s Water Management Plan defines the operational principles that BRA uses to operate its system under its various water rights and is not used to evaluate potential new customers.</w:t>
      </w:r>
      <w:r w:rsidRPr="00E21483">
        <w:rPr>
          <w:rFonts w:eastAsia="Times New Roman"/>
          <w:i/>
          <w:iCs/>
          <w:color w:val="153D63" w:themeColor="text2" w:themeTint="E6"/>
          <w:highlight w:val="yellow"/>
        </w:rPr>
        <w:br/>
      </w:r>
    </w:p>
    <w:p w14:paraId="27D6A907" w14:textId="77777777" w:rsidR="003076AB" w:rsidRDefault="003076AB" w:rsidP="003076AB">
      <w:pPr>
        <w:numPr>
          <w:ilvl w:val="0"/>
          <w:numId w:val="1"/>
        </w:numPr>
      </w:pPr>
      <w:r w:rsidRPr="003076AB">
        <w:t>Has the BRA received any "Technical Memorandums" or mechanical specs from the City of Temple regarding "high-heat-day" water spikes for new industrial customers? </w:t>
      </w:r>
    </w:p>
    <w:p w14:paraId="5FF0CAF1" w14:textId="77777777" w:rsidR="00E21483" w:rsidRPr="00E21483" w:rsidRDefault="00E21483" w:rsidP="00E21483">
      <w:pPr>
        <w:pStyle w:val="ListParagraph"/>
        <w:spacing w:before="100" w:beforeAutospacing="1" w:after="100" w:afterAutospacing="1"/>
        <w:rPr>
          <w:i/>
          <w:iCs/>
          <w:color w:val="153D63" w:themeColor="text2" w:themeTint="E6"/>
        </w:rPr>
      </w:pPr>
      <w:r w:rsidRPr="00E21483">
        <w:rPr>
          <w:rFonts w:eastAsia="Times New Roman"/>
          <w:i/>
          <w:iCs/>
          <w:color w:val="153D63" w:themeColor="text2" w:themeTint="E6"/>
        </w:rPr>
        <w:lastRenderedPageBreak/>
        <w:t xml:space="preserve">No, BRA has not received any </w:t>
      </w:r>
      <w:r w:rsidRPr="00E21483">
        <w:rPr>
          <w:i/>
          <w:iCs/>
          <w:color w:val="153D63" w:themeColor="text2" w:themeTint="E6"/>
        </w:rPr>
        <w:t xml:space="preserve">"Technical Memorandums" or mechanical specs from the City of Temple regarding "high-heat-day" water spikes for new industrial customers. </w:t>
      </w:r>
    </w:p>
    <w:p w14:paraId="711F4B14" w14:textId="77777777" w:rsidR="003076AB" w:rsidRDefault="003076AB" w:rsidP="003076AB">
      <w:pPr>
        <w:numPr>
          <w:ilvl w:val="0"/>
          <w:numId w:val="1"/>
        </w:numPr>
      </w:pPr>
      <w:r w:rsidRPr="003076AB">
        <w:t>Does the current 2026 draft demand projection for Temple include the "High-Growth" or "0.5 Migration" scenario, and does that baseline account for the millions of gallons of daily industrial load added by data center permits issued since 2022?</w:t>
      </w:r>
    </w:p>
    <w:p w14:paraId="0DF28436" w14:textId="77777777" w:rsidR="00EE1CBD" w:rsidRDefault="00EE1CBD" w:rsidP="00EE1CBD">
      <w:pPr>
        <w:pStyle w:val="ListParagraph"/>
        <w:spacing w:before="100" w:beforeAutospacing="1" w:after="100" w:afterAutospacing="1"/>
        <w:rPr>
          <w:i/>
          <w:iCs/>
          <w:color w:val="153D63" w:themeColor="text2" w:themeTint="E6"/>
        </w:rPr>
      </w:pPr>
      <w:r>
        <w:rPr>
          <w:rFonts w:eastAsia="Times New Roman"/>
          <w:i/>
          <w:iCs/>
          <w:color w:val="153D63" w:themeColor="text2" w:themeTint="E6"/>
        </w:rPr>
        <w:t>See response for Question 4 above.</w:t>
      </w:r>
    </w:p>
    <w:p w14:paraId="589040CA" w14:textId="77777777" w:rsidR="003076AB" w:rsidRDefault="003076AB" w:rsidP="003076AB">
      <w:pPr>
        <w:numPr>
          <w:ilvl w:val="0"/>
          <w:numId w:val="1"/>
        </w:numPr>
      </w:pPr>
      <w:r w:rsidRPr="003076AB">
        <w:t>If the BRA triggers a "Senior Call" (where older water rights take priority), where do new "Industrial/Commercial" contracts in Temple fall in the priority line compared to municipal residential needs? </w:t>
      </w:r>
    </w:p>
    <w:p w14:paraId="02E31532" w14:textId="77777777" w:rsidR="004F1EF6" w:rsidRPr="004F1EF6" w:rsidRDefault="004F1EF6" w:rsidP="004F1EF6">
      <w:pPr>
        <w:pStyle w:val="ListParagraph"/>
        <w:spacing w:before="100" w:beforeAutospacing="1" w:after="100" w:afterAutospacing="1"/>
        <w:rPr>
          <w:i/>
          <w:iCs/>
          <w:color w:val="153D63" w:themeColor="text2" w:themeTint="E6"/>
        </w:rPr>
      </w:pPr>
      <w:r w:rsidRPr="004F1EF6">
        <w:rPr>
          <w:rFonts w:eastAsia="Times New Roman"/>
          <w:i/>
          <w:iCs/>
          <w:color w:val="153D63" w:themeColor="text2" w:themeTint="E6"/>
        </w:rPr>
        <w:t>BRA is not responsible for the regulation and oversight of water rights within the Brazos River Basin. The TCEQ Brazos Watermaster oversees the allocation of water across water rights within the area, including the Bell County area.</w:t>
      </w:r>
    </w:p>
    <w:p w14:paraId="31126F68" w14:textId="77777777" w:rsidR="003076AB" w:rsidRDefault="003076AB" w:rsidP="003076AB">
      <w:pPr>
        <w:numPr>
          <w:ilvl w:val="0"/>
          <w:numId w:val="1"/>
        </w:numPr>
      </w:pPr>
      <w:r w:rsidRPr="003076AB">
        <w:t>Is the City of Temple’s agreement with Meta/Rowan based on "Firm Yield" (guaranteed) water, or is it utilizing "Interruptible Water" that can be cut off during a drought? </w:t>
      </w:r>
    </w:p>
    <w:p w14:paraId="3F25E05E" w14:textId="02EC82AA" w:rsidR="004F1EF6" w:rsidRPr="003076AB" w:rsidRDefault="004F1EF6" w:rsidP="00E059C7">
      <w:pPr>
        <w:pStyle w:val="ListParagraph"/>
        <w:spacing w:before="100" w:beforeAutospacing="1" w:after="100" w:afterAutospacing="1"/>
      </w:pPr>
      <w:r w:rsidRPr="004F1EF6">
        <w:rPr>
          <w:rFonts w:eastAsia="Times New Roman"/>
          <w:i/>
          <w:iCs/>
          <w:color w:val="153D63" w:themeColor="text2" w:themeTint="E6"/>
        </w:rPr>
        <w:t xml:space="preserve">BRA does not have any information regarding the City of Temple’s agreement with Meta/Rowan. </w:t>
      </w:r>
    </w:p>
    <w:p w14:paraId="2B48C372" w14:textId="77777777" w:rsidR="003076AB" w:rsidRDefault="003076AB" w:rsidP="003076AB">
      <w:pPr>
        <w:numPr>
          <w:ilvl w:val="0"/>
          <w:numId w:val="1"/>
        </w:numPr>
      </w:pPr>
      <w:r w:rsidRPr="003076AB">
        <w:t>Has the BRA been consulted on the "Interconnection Studies" required by the new March 2026 PUCT draft rules (16 TAC §25.194) regarding large loads (75MW+) in Bell County? </w:t>
      </w:r>
    </w:p>
    <w:p w14:paraId="49497598" w14:textId="77777777" w:rsidR="006B1856" w:rsidRPr="006B1856" w:rsidRDefault="006B1856" w:rsidP="006B1856">
      <w:pPr>
        <w:pStyle w:val="ListParagraph"/>
        <w:spacing w:before="100" w:beforeAutospacing="1" w:after="100" w:afterAutospacing="1"/>
        <w:rPr>
          <w:i/>
          <w:iCs/>
          <w:color w:val="153D63" w:themeColor="text2" w:themeTint="E6"/>
        </w:rPr>
      </w:pPr>
      <w:r w:rsidRPr="006B1856">
        <w:rPr>
          <w:rFonts w:eastAsia="Times New Roman"/>
          <w:i/>
          <w:iCs/>
          <w:color w:val="153D63" w:themeColor="text2" w:themeTint="E6"/>
        </w:rPr>
        <w:t>No, BRA was not consulted on the “Interconnection Studies”.</w:t>
      </w:r>
    </w:p>
    <w:p w14:paraId="217EBE03" w14:textId="77777777" w:rsidR="003076AB" w:rsidRDefault="003076AB" w:rsidP="003076AB">
      <w:pPr>
        <w:numPr>
          <w:ilvl w:val="0"/>
          <w:numId w:val="1"/>
        </w:numPr>
      </w:pPr>
      <w:r w:rsidRPr="003076AB">
        <w:t>Which water supply projects listed in the 2022 plan for Bell County have been flagged as "infeasible" or delayed in the draft 2026 Region G Plan?</w:t>
      </w:r>
    </w:p>
    <w:p w14:paraId="1C28A366" w14:textId="2DDAFA70" w:rsidR="006B1856" w:rsidRPr="006B1856" w:rsidRDefault="006B1856" w:rsidP="006B1856">
      <w:pPr>
        <w:pStyle w:val="ListParagraph"/>
        <w:spacing w:before="100" w:beforeAutospacing="1" w:after="100" w:afterAutospacing="1"/>
        <w:rPr>
          <w:i/>
          <w:iCs/>
          <w:color w:val="153D63" w:themeColor="text2" w:themeTint="E6"/>
        </w:rPr>
      </w:pPr>
      <w:r w:rsidRPr="006B1856">
        <w:rPr>
          <w:rFonts w:eastAsia="Times New Roman"/>
          <w:i/>
          <w:iCs/>
          <w:color w:val="153D63" w:themeColor="text2" w:themeTint="E6"/>
        </w:rPr>
        <w:t xml:space="preserve">The 2026 Regional Water Plans were adopted by the Texas Water Development Board (TWDB) on January 22, 2026. </w:t>
      </w:r>
      <w:r>
        <w:rPr>
          <w:rFonts w:eastAsia="Times New Roman"/>
          <w:i/>
          <w:iCs/>
          <w:color w:val="153D63" w:themeColor="text2" w:themeTint="E6"/>
        </w:rPr>
        <w:br/>
      </w:r>
      <w:r w:rsidRPr="006B1856">
        <w:rPr>
          <w:rFonts w:eastAsia="Times New Roman"/>
          <w:i/>
          <w:iCs/>
          <w:color w:val="153D63" w:themeColor="text2" w:themeTint="E6"/>
        </w:rPr>
        <w:br/>
        <w:t xml:space="preserve">Based on review of the 2026 Brazos G Regional Water Plan, no Bell County Water Supply Projects have been listed as “Infeasible” or delayed in the 2026 Brazos G Plan. </w:t>
      </w:r>
    </w:p>
    <w:p w14:paraId="164C4B84" w14:textId="7D2A23A6" w:rsidR="003076AB" w:rsidRPr="003076AB" w:rsidRDefault="003076AB" w:rsidP="003076AB">
      <w:pPr>
        <w:numPr>
          <w:ilvl w:val="0"/>
          <w:numId w:val="1"/>
        </w:numPr>
      </w:pPr>
      <w:r w:rsidRPr="003076AB">
        <w:lastRenderedPageBreak/>
        <w:t>Has the BRA's wastewater treatment division flagged a significant decrease in the "Return Flow" ratio for the City of Temple's industrial sector?  </w:t>
      </w:r>
      <w:r w:rsidR="008D1DB1">
        <w:br/>
      </w:r>
      <w:r w:rsidR="008D1DB1">
        <w:br/>
      </w:r>
      <w:r w:rsidR="00AE68FA" w:rsidRPr="00AE68FA">
        <w:rPr>
          <w:rFonts w:eastAsia="Times New Roman"/>
          <w:i/>
          <w:iCs/>
          <w:color w:val="153D63" w:themeColor="text2" w:themeTint="E6"/>
        </w:rPr>
        <w:t xml:space="preserve">BRA’s wastewater treatment division has not observed a significant decrease in the amount of treated wastewater being discharged to the receiving stream. Currently, ongoing reuse of wastewater from the Doshier Farm Wastewater Treatment Plant for the City of Temple includes irrigation and power plant cooling for the Panda Power Generation Plant. </w:t>
      </w:r>
    </w:p>
    <w:p w14:paraId="07F9B2F1" w14:textId="77777777" w:rsidR="003076AB" w:rsidRDefault="003076AB" w:rsidP="003076AB">
      <w:pPr>
        <w:numPr>
          <w:ilvl w:val="0"/>
          <w:numId w:val="1"/>
        </w:numPr>
      </w:pPr>
      <w:r w:rsidRPr="003076AB">
        <w:t>Can you provide the DB27 "Water Supply Analysis" summary for the City of Temple, specifically comparing current "Existing Water Supplies" against "Projected Demands" for the year 2030? </w:t>
      </w:r>
    </w:p>
    <w:p w14:paraId="0D334119" w14:textId="77777777" w:rsidR="00FD04DA" w:rsidRPr="00FD04DA" w:rsidRDefault="00FD04DA" w:rsidP="00FD04DA">
      <w:pPr>
        <w:pStyle w:val="ListParagraph"/>
        <w:spacing w:before="100" w:beforeAutospacing="1" w:after="100" w:afterAutospacing="1"/>
        <w:rPr>
          <w:i/>
          <w:iCs/>
          <w:color w:val="153D63" w:themeColor="text2" w:themeTint="E6"/>
        </w:rPr>
      </w:pPr>
      <w:r w:rsidRPr="00FD04DA">
        <w:rPr>
          <w:rFonts w:eastAsia="Times New Roman"/>
          <w:i/>
          <w:iCs/>
          <w:color w:val="153D63" w:themeColor="text2" w:themeTint="E6"/>
        </w:rPr>
        <w:t>See response for Question 4 above.</w:t>
      </w:r>
    </w:p>
    <w:p w14:paraId="11526C92" w14:textId="77777777" w:rsidR="003076AB" w:rsidRDefault="003076AB" w:rsidP="003076AB">
      <w:pPr>
        <w:numPr>
          <w:ilvl w:val="0"/>
          <w:numId w:val="1"/>
        </w:numPr>
      </w:pPr>
      <w:r w:rsidRPr="003076AB">
        <w:t>How much of the BRA’s approved FY 2026 rate increase of $106.00 per acre-foot is dedicated to infrastructure for the "High-Growth" industrial sector versus maintaining existing municipal service?</w:t>
      </w:r>
    </w:p>
    <w:p w14:paraId="0CA6C577" w14:textId="77777777" w:rsidR="001C16D6" w:rsidRDefault="005B5E86" w:rsidP="001A4B90">
      <w:pPr>
        <w:pStyle w:val="ListParagraph"/>
        <w:spacing w:before="100" w:beforeAutospacing="1" w:after="100" w:afterAutospacing="1"/>
        <w:rPr>
          <w:rFonts w:eastAsia="Times New Roman"/>
          <w:i/>
          <w:iCs/>
          <w:color w:val="153D63" w:themeColor="text2" w:themeTint="E6"/>
        </w:rPr>
      </w:pPr>
      <w:r w:rsidRPr="005E78FB">
        <w:rPr>
          <w:rFonts w:eastAsia="Times New Roman"/>
          <w:i/>
          <w:iCs/>
          <w:color w:val="153D63" w:themeColor="text2" w:themeTint="E6"/>
        </w:rPr>
        <w:t xml:space="preserve">BRA’s </w:t>
      </w:r>
      <w:r w:rsidR="00C84967" w:rsidRPr="005E78FB">
        <w:rPr>
          <w:rFonts w:eastAsia="Times New Roman"/>
          <w:i/>
          <w:iCs/>
          <w:color w:val="153D63" w:themeColor="text2" w:themeTint="E6"/>
        </w:rPr>
        <w:t>system rate increased from $99.50 per acre-foot to $106.00 per acre-foot</w:t>
      </w:r>
      <w:r w:rsidR="008D338F" w:rsidRPr="005E78FB">
        <w:rPr>
          <w:rFonts w:eastAsia="Times New Roman"/>
          <w:i/>
          <w:iCs/>
          <w:color w:val="153D63" w:themeColor="text2" w:themeTint="E6"/>
        </w:rPr>
        <w:t>, an increase of $6.50 per acre-foot</w:t>
      </w:r>
      <w:r w:rsidR="009B4E28" w:rsidRPr="005E78FB">
        <w:rPr>
          <w:rFonts w:eastAsia="Times New Roman"/>
          <w:i/>
          <w:iCs/>
          <w:color w:val="153D63" w:themeColor="text2" w:themeTint="E6"/>
        </w:rPr>
        <w:t xml:space="preserve"> from FY 2025 to FY 2026</w:t>
      </w:r>
      <w:r w:rsidR="00F74B41" w:rsidRPr="005E78FB">
        <w:rPr>
          <w:rFonts w:eastAsia="Times New Roman"/>
          <w:i/>
          <w:iCs/>
          <w:color w:val="153D63" w:themeColor="text2" w:themeTint="E6"/>
        </w:rPr>
        <w:t xml:space="preserve"> or </w:t>
      </w:r>
      <w:r w:rsidR="005E78FB" w:rsidRPr="005E78FB">
        <w:rPr>
          <w:rFonts w:eastAsia="Times New Roman"/>
          <w:i/>
          <w:iCs/>
          <w:color w:val="153D63" w:themeColor="text2" w:themeTint="E6"/>
        </w:rPr>
        <w:t>6.5 percent.</w:t>
      </w:r>
      <w:r w:rsidR="00C841AB">
        <w:rPr>
          <w:rFonts w:eastAsia="Times New Roman"/>
          <w:i/>
          <w:iCs/>
          <w:color w:val="153D63" w:themeColor="text2" w:themeTint="E6"/>
        </w:rPr>
        <w:t xml:space="preserve"> </w:t>
      </w:r>
      <w:r w:rsidR="005B52BD">
        <w:rPr>
          <w:rFonts w:eastAsia="Times New Roman"/>
          <w:i/>
          <w:iCs/>
          <w:color w:val="153D63" w:themeColor="text2" w:themeTint="E6"/>
        </w:rPr>
        <w:t xml:space="preserve">The </w:t>
      </w:r>
      <w:r w:rsidR="00880022">
        <w:rPr>
          <w:rFonts w:eastAsia="Times New Roman"/>
          <w:i/>
          <w:iCs/>
          <w:color w:val="153D63" w:themeColor="text2" w:themeTint="E6"/>
        </w:rPr>
        <w:t xml:space="preserve">annual </w:t>
      </w:r>
      <w:r w:rsidR="005B52BD">
        <w:rPr>
          <w:rFonts w:eastAsia="Times New Roman"/>
          <w:i/>
          <w:iCs/>
          <w:color w:val="153D63" w:themeColor="text2" w:themeTint="E6"/>
        </w:rPr>
        <w:t>system rate</w:t>
      </w:r>
      <w:r w:rsidR="002E1A59">
        <w:rPr>
          <w:rFonts w:eastAsia="Times New Roman"/>
          <w:i/>
          <w:iCs/>
          <w:color w:val="153D63" w:themeColor="text2" w:themeTint="E6"/>
        </w:rPr>
        <w:t>,</w:t>
      </w:r>
      <w:r w:rsidR="005B52BD">
        <w:rPr>
          <w:rFonts w:eastAsia="Times New Roman"/>
          <w:i/>
          <w:iCs/>
          <w:color w:val="153D63" w:themeColor="text2" w:themeTint="E6"/>
        </w:rPr>
        <w:t xml:space="preserve"> set each year in July</w:t>
      </w:r>
      <w:r w:rsidR="002E1A59">
        <w:rPr>
          <w:rFonts w:eastAsia="Times New Roman"/>
          <w:i/>
          <w:iCs/>
          <w:color w:val="153D63" w:themeColor="text2" w:themeTint="E6"/>
        </w:rPr>
        <w:t>,</w:t>
      </w:r>
      <w:r w:rsidR="00F62B7D">
        <w:rPr>
          <w:rFonts w:eastAsia="Times New Roman"/>
          <w:i/>
          <w:iCs/>
          <w:color w:val="153D63" w:themeColor="text2" w:themeTint="E6"/>
        </w:rPr>
        <w:t xml:space="preserve"> </w:t>
      </w:r>
      <w:r w:rsidR="0039445C">
        <w:rPr>
          <w:rFonts w:eastAsia="Times New Roman"/>
          <w:i/>
          <w:iCs/>
          <w:color w:val="153D63" w:themeColor="text2" w:themeTint="E6"/>
        </w:rPr>
        <w:t xml:space="preserve">generates the necessary revenue to cover expenses to maintain </w:t>
      </w:r>
      <w:r w:rsidR="00537BCF">
        <w:rPr>
          <w:rFonts w:eastAsia="Times New Roman"/>
          <w:i/>
          <w:iCs/>
          <w:color w:val="153D63" w:themeColor="text2" w:themeTint="E6"/>
        </w:rPr>
        <w:t>the existing infrastructure and services</w:t>
      </w:r>
      <w:r w:rsidR="00306811">
        <w:rPr>
          <w:rFonts w:eastAsia="Times New Roman"/>
          <w:i/>
          <w:iCs/>
          <w:color w:val="153D63" w:themeColor="text2" w:themeTint="E6"/>
        </w:rPr>
        <w:t xml:space="preserve"> of the system</w:t>
      </w:r>
      <w:r w:rsidR="00A8469D">
        <w:rPr>
          <w:rFonts w:eastAsia="Times New Roman"/>
          <w:i/>
          <w:iCs/>
          <w:color w:val="153D63" w:themeColor="text2" w:themeTint="E6"/>
        </w:rPr>
        <w:t xml:space="preserve"> and funds </w:t>
      </w:r>
      <w:r w:rsidR="00D21C5B">
        <w:rPr>
          <w:rFonts w:eastAsia="Times New Roman"/>
          <w:i/>
          <w:iCs/>
          <w:color w:val="153D63" w:themeColor="text2" w:themeTint="E6"/>
        </w:rPr>
        <w:t>new water supply projects to generate additional water supply for the future</w:t>
      </w:r>
      <w:r w:rsidR="009A4A18">
        <w:rPr>
          <w:rFonts w:eastAsia="Times New Roman"/>
          <w:i/>
          <w:iCs/>
          <w:color w:val="153D63" w:themeColor="text2" w:themeTint="E6"/>
        </w:rPr>
        <w:t xml:space="preserve">, including new demands in both the industrial and municipal sectors. </w:t>
      </w:r>
    </w:p>
    <w:p w14:paraId="0985C743" w14:textId="77777777" w:rsidR="001C16D6" w:rsidRDefault="001C16D6" w:rsidP="001A4B90">
      <w:pPr>
        <w:pStyle w:val="ListParagraph"/>
        <w:spacing w:before="100" w:beforeAutospacing="1" w:after="100" w:afterAutospacing="1"/>
        <w:rPr>
          <w:rFonts w:eastAsia="Times New Roman"/>
          <w:i/>
          <w:iCs/>
          <w:color w:val="153D63" w:themeColor="text2" w:themeTint="E6"/>
        </w:rPr>
      </w:pPr>
    </w:p>
    <w:p w14:paraId="1CEA8FB9" w14:textId="3018076F" w:rsidR="001C16D6" w:rsidRDefault="001C16D6" w:rsidP="001C16D6">
      <w:pPr>
        <w:pStyle w:val="ListParagraph"/>
        <w:spacing w:before="100" w:beforeAutospacing="1" w:after="100" w:afterAutospacing="1"/>
        <w:rPr>
          <w:rFonts w:eastAsia="Times New Roman"/>
          <w:i/>
          <w:iCs/>
          <w:color w:val="153D63" w:themeColor="text2" w:themeTint="E6"/>
        </w:rPr>
      </w:pPr>
      <w:r>
        <w:rPr>
          <w:rFonts w:eastAsia="Times New Roman"/>
          <w:i/>
          <w:iCs/>
          <w:color w:val="153D63" w:themeColor="text2" w:themeTint="E6"/>
        </w:rPr>
        <w:t>Currently</w:t>
      </w:r>
      <w:r w:rsidR="00D35A51">
        <w:rPr>
          <w:rFonts w:eastAsia="Times New Roman"/>
          <w:i/>
          <w:iCs/>
          <w:color w:val="153D63" w:themeColor="text2" w:themeTint="E6"/>
        </w:rPr>
        <w:t>,</w:t>
      </w:r>
      <w:r>
        <w:rPr>
          <w:rFonts w:eastAsia="Times New Roman"/>
          <w:i/>
          <w:iCs/>
          <w:color w:val="153D63" w:themeColor="text2" w:themeTint="E6"/>
        </w:rPr>
        <w:t xml:space="preserve"> the BRA does not have any long-term water available for new contracts. Should the BRA complete any new water supply projects in the future, such as the Whitney Reallocation Project or the proposed Allens Creek Reservoir, additional water may become available for contracting. However, the supply that will be generated from these projects has yet to be allocated or contracted to new BRA customers.</w:t>
      </w:r>
    </w:p>
    <w:p w14:paraId="4F77072F" w14:textId="19F97F32" w:rsidR="001C16D6" w:rsidRDefault="001C16D6" w:rsidP="001A4B90">
      <w:pPr>
        <w:pStyle w:val="ListParagraph"/>
        <w:spacing w:before="100" w:beforeAutospacing="1" w:after="100" w:afterAutospacing="1"/>
        <w:rPr>
          <w:rFonts w:eastAsia="Times New Roman"/>
          <w:i/>
          <w:iCs/>
          <w:color w:val="153D63" w:themeColor="text2" w:themeTint="E6"/>
        </w:rPr>
      </w:pPr>
      <w:r>
        <w:rPr>
          <w:rFonts w:eastAsia="Times New Roman"/>
          <w:i/>
          <w:iCs/>
          <w:color w:val="153D63" w:themeColor="text2" w:themeTint="E6"/>
        </w:rPr>
        <w:t xml:space="preserve"> </w:t>
      </w:r>
    </w:p>
    <w:p w14:paraId="2B7176B1" w14:textId="3EAEB588" w:rsidR="00E628E4" w:rsidRDefault="00261AE2" w:rsidP="001A4B90">
      <w:pPr>
        <w:pStyle w:val="ListParagraph"/>
        <w:spacing w:before="100" w:beforeAutospacing="1" w:after="100" w:afterAutospacing="1"/>
        <w:rPr>
          <w:rFonts w:eastAsia="Times New Roman"/>
          <w:i/>
          <w:iCs/>
          <w:color w:val="153D63" w:themeColor="text2" w:themeTint="E6"/>
        </w:rPr>
      </w:pPr>
      <w:r>
        <w:rPr>
          <w:rFonts w:eastAsia="Times New Roman"/>
          <w:i/>
          <w:iCs/>
          <w:color w:val="153D63" w:themeColor="text2" w:themeTint="E6"/>
        </w:rPr>
        <w:t xml:space="preserve"> Currently, approximately</w:t>
      </w:r>
      <w:r w:rsidR="006634AA">
        <w:rPr>
          <w:rFonts w:eastAsia="Times New Roman"/>
          <w:i/>
          <w:iCs/>
          <w:color w:val="153D63" w:themeColor="text2" w:themeTint="E6"/>
        </w:rPr>
        <w:t xml:space="preserve"> 57 percent of the total long-term contracts are municipal, </w:t>
      </w:r>
      <w:r w:rsidR="00AC1E00">
        <w:rPr>
          <w:rFonts w:eastAsia="Times New Roman"/>
          <w:i/>
          <w:iCs/>
          <w:color w:val="153D63" w:themeColor="text2" w:themeTint="E6"/>
        </w:rPr>
        <w:t>39 percent are industrial (primarily steam-electric power generation)</w:t>
      </w:r>
      <w:r w:rsidR="00762ECD">
        <w:rPr>
          <w:rFonts w:eastAsia="Times New Roman"/>
          <w:i/>
          <w:iCs/>
          <w:color w:val="153D63" w:themeColor="text2" w:themeTint="E6"/>
        </w:rPr>
        <w:t xml:space="preserve">, 3 percent irrigation, </w:t>
      </w:r>
      <w:r w:rsidR="005B5988">
        <w:rPr>
          <w:rFonts w:eastAsia="Times New Roman"/>
          <w:i/>
          <w:iCs/>
          <w:color w:val="153D63" w:themeColor="text2" w:themeTint="E6"/>
        </w:rPr>
        <w:t>with the</w:t>
      </w:r>
      <w:r w:rsidR="00762ECD">
        <w:rPr>
          <w:rFonts w:eastAsia="Times New Roman"/>
          <w:i/>
          <w:iCs/>
          <w:color w:val="153D63" w:themeColor="text2" w:themeTint="E6"/>
        </w:rPr>
        <w:t xml:space="preserve"> remaining </w:t>
      </w:r>
      <w:r w:rsidR="005B5988">
        <w:rPr>
          <w:rFonts w:eastAsia="Times New Roman"/>
          <w:i/>
          <w:iCs/>
          <w:color w:val="153D63" w:themeColor="text2" w:themeTint="E6"/>
        </w:rPr>
        <w:t xml:space="preserve">as </w:t>
      </w:r>
      <w:r w:rsidR="00762ECD">
        <w:rPr>
          <w:rFonts w:eastAsia="Times New Roman"/>
          <w:i/>
          <w:iCs/>
          <w:color w:val="153D63" w:themeColor="text2" w:themeTint="E6"/>
        </w:rPr>
        <w:t>mining and other uses.</w:t>
      </w:r>
    </w:p>
    <w:sectPr w:rsidR="00E628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856C8"/>
    <w:multiLevelType w:val="multilevel"/>
    <w:tmpl w:val="FFE6E0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959309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6AB"/>
    <w:rsid w:val="000B0EE0"/>
    <w:rsid w:val="00122D3B"/>
    <w:rsid w:val="00153FB2"/>
    <w:rsid w:val="0016797B"/>
    <w:rsid w:val="0017546E"/>
    <w:rsid w:val="001A3C47"/>
    <w:rsid w:val="001A4B90"/>
    <w:rsid w:val="001C16D6"/>
    <w:rsid w:val="001E7310"/>
    <w:rsid w:val="00212DD0"/>
    <w:rsid w:val="00222931"/>
    <w:rsid w:val="00261AE2"/>
    <w:rsid w:val="00266433"/>
    <w:rsid w:val="00290E16"/>
    <w:rsid w:val="002E1A59"/>
    <w:rsid w:val="0030470C"/>
    <w:rsid w:val="00306811"/>
    <w:rsid w:val="003076AB"/>
    <w:rsid w:val="0039445C"/>
    <w:rsid w:val="00442C0B"/>
    <w:rsid w:val="004F1EF6"/>
    <w:rsid w:val="00507C4A"/>
    <w:rsid w:val="00537BCF"/>
    <w:rsid w:val="0056141E"/>
    <w:rsid w:val="005757D8"/>
    <w:rsid w:val="005B52BD"/>
    <w:rsid w:val="005B5988"/>
    <w:rsid w:val="005B5E86"/>
    <w:rsid w:val="005E78FB"/>
    <w:rsid w:val="00604D1F"/>
    <w:rsid w:val="0064436C"/>
    <w:rsid w:val="006634AA"/>
    <w:rsid w:val="00685652"/>
    <w:rsid w:val="006B1856"/>
    <w:rsid w:val="00721D43"/>
    <w:rsid w:val="00762ECD"/>
    <w:rsid w:val="007830ED"/>
    <w:rsid w:val="007A3F10"/>
    <w:rsid w:val="00817626"/>
    <w:rsid w:val="008458BD"/>
    <w:rsid w:val="00851CE2"/>
    <w:rsid w:val="00866633"/>
    <w:rsid w:val="00867568"/>
    <w:rsid w:val="00880022"/>
    <w:rsid w:val="00882F67"/>
    <w:rsid w:val="008D1DB1"/>
    <w:rsid w:val="008D338F"/>
    <w:rsid w:val="008F0F39"/>
    <w:rsid w:val="009126C8"/>
    <w:rsid w:val="009770BC"/>
    <w:rsid w:val="00992BDF"/>
    <w:rsid w:val="009A4A18"/>
    <w:rsid w:val="009B3CDE"/>
    <w:rsid w:val="009B4E28"/>
    <w:rsid w:val="00A17592"/>
    <w:rsid w:val="00A64819"/>
    <w:rsid w:val="00A64B3C"/>
    <w:rsid w:val="00A8469D"/>
    <w:rsid w:val="00A86C54"/>
    <w:rsid w:val="00AB44A1"/>
    <w:rsid w:val="00AB75BD"/>
    <w:rsid w:val="00AC1E00"/>
    <w:rsid w:val="00AE3E43"/>
    <w:rsid w:val="00AE68FA"/>
    <w:rsid w:val="00B01EBD"/>
    <w:rsid w:val="00B0295F"/>
    <w:rsid w:val="00B34B5E"/>
    <w:rsid w:val="00B42D74"/>
    <w:rsid w:val="00B818FE"/>
    <w:rsid w:val="00B92B22"/>
    <w:rsid w:val="00C013AC"/>
    <w:rsid w:val="00C771B6"/>
    <w:rsid w:val="00C841AB"/>
    <w:rsid w:val="00C84967"/>
    <w:rsid w:val="00CB589B"/>
    <w:rsid w:val="00CC1D06"/>
    <w:rsid w:val="00D06D1A"/>
    <w:rsid w:val="00D21C5B"/>
    <w:rsid w:val="00D25242"/>
    <w:rsid w:val="00D35A51"/>
    <w:rsid w:val="00DB33FF"/>
    <w:rsid w:val="00DD6964"/>
    <w:rsid w:val="00E059C7"/>
    <w:rsid w:val="00E21483"/>
    <w:rsid w:val="00E5463B"/>
    <w:rsid w:val="00E628E4"/>
    <w:rsid w:val="00ED6116"/>
    <w:rsid w:val="00EE1CBD"/>
    <w:rsid w:val="00F0508A"/>
    <w:rsid w:val="00F21EC1"/>
    <w:rsid w:val="00F62B7D"/>
    <w:rsid w:val="00F74B41"/>
    <w:rsid w:val="00F961C5"/>
    <w:rsid w:val="00FD04DA"/>
    <w:rsid w:val="00FD1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AFCFB"/>
  <w15:chartTrackingRefBased/>
  <w15:docId w15:val="{EEE1AF18-6044-4FA7-B2D9-37BA6CA6F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76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76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76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76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76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76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76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76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76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6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76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76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76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76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76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76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76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76AB"/>
    <w:rPr>
      <w:rFonts w:eastAsiaTheme="majorEastAsia" w:cstheme="majorBidi"/>
      <w:color w:val="272727" w:themeColor="text1" w:themeTint="D8"/>
    </w:rPr>
  </w:style>
  <w:style w:type="paragraph" w:styleId="Title">
    <w:name w:val="Title"/>
    <w:basedOn w:val="Normal"/>
    <w:next w:val="Normal"/>
    <w:link w:val="TitleChar"/>
    <w:uiPriority w:val="10"/>
    <w:qFormat/>
    <w:rsid w:val="003076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76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76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76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76AB"/>
    <w:pPr>
      <w:spacing w:before="160"/>
      <w:jc w:val="center"/>
    </w:pPr>
    <w:rPr>
      <w:i/>
      <w:iCs/>
      <w:color w:val="404040" w:themeColor="text1" w:themeTint="BF"/>
    </w:rPr>
  </w:style>
  <w:style w:type="character" w:customStyle="1" w:styleId="QuoteChar">
    <w:name w:val="Quote Char"/>
    <w:basedOn w:val="DefaultParagraphFont"/>
    <w:link w:val="Quote"/>
    <w:uiPriority w:val="29"/>
    <w:rsid w:val="003076AB"/>
    <w:rPr>
      <w:i/>
      <w:iCs/>
      <w:color w:val="404040" w:themeColor="text1" w:themeTint="BF"/>
    </w:rPr>
  </w:style>
  <w:style w:type="paragraph" w:styleId="ListParagraph">
    <w:name w:val="List Paragraph"/>
    <w:basedOn w:val="Normal"/>
    <w:uiPriority w:val="34"/>
    <w:qFormat/>
    <w:rsid w:val="003076AB"/>
    <w:pPr>
      <w:ind w:left="720"/>
      <w:contextualSpacing/>
    </w:pPr>
  </w:style>
  <w:style w:type="character" w:styleId="IntenseEmphasis">
    <w:name w:val="Intense Emphasis"/>
    <w:basedOn w:val="DefaultParagraphFont"/>
    <w:uiPriority w:val="21"/>
    <w:qFormat/>
    <w:rsid w:val="003076AB"/>
    <w:rPr>
      <w:i/>
      <w:iCs/>
      <w:color w:val="0F4761" w:themeColor="accent1" w:themeShade="BF"/>
    </w:rPr>
  </w:style>
  <w:style w:type="paragraph" w:styleId="IntenseQuote">
    <w:name w:val="Intense Quote"/>
    <w:basedOn w:val="Normal"/>
    <w:next w:val="Normal"/>
    <w:link w:val="IntenseQuoteChar"/>
    <w:uiPriority w:val="30"/>
    <w:qFormat/>
    <w:rsid w:val="003076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76AB"/>
    <w:rPr>
      <w:i/>
      <w:iCs/>
      <w:color w:val="0F4761" w:themeColor="accent1" w:themeShade="BF"/>
    </w:rPr>
  </w:style>
  <w:style w:type="character" w:styleId="IntenseReference">
    <w:name w:val="Intense Reference"/>
    <w:basedOn w:val="DefaultParagraphFont"/>
    <w:uiPriority w:val="32"/>
    <w:qFormat/>
    <w:rsid w:val="003076A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1244</Words>
  <Characters>6688</Characters>
  <Application>Microsoft Office Word</Application>
  <DocSecurity>0</DocSecurity>
  <Lines>128</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Abel</dc:creator>
  <cp:keywords/>
  <dc:description/>
  <cp:lastModifiedBy>Judi Pierce</cp:lastModifiedBy>
  <cp:revision>6</cp:revision>
  <dcterms:created xsi:type="dcterms:W3CDTF">2026-04-06T21:56:00Z</dcterms:created>
  <dcterms:modified xsi:type="dcterms:W3CDTF">2026-04-06T22:12:00Z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a69f3feb-8f36-45f5-9d93-e6fea98e89f2</vt:lpwstr>
  </property>
</Properties>
</file>